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9B" w:rsidRDefault="00BD299B" w:rsidP="00BD299B">
      <w:pPr>
        <w:pStyle w:val="1"/>
        <w:spacing w:before="0" w:beforeAutospacing="0" w:afterLines="50" w:afterAutospacing="0" w:line="610" w:lineRule="exact"/>
        <w:rPr>
          <w:rFonts w:ascii="黑体" w:eastAsia="黑体" w:hAnsi="黑体" w:cs="黑体"/>
          <w:b w:val="0"/>
          <w:bCs w:val="0"/>
          <w:sz w:val="32"/>
          <w:szCs w:val="40"/>
        </w:rPr>
      </w:pPr>
      <w:r>
        <w:rPr>
          <w:rFonts w:ascii="黑体" w:eastAsia="黑体" w:hAnsi="黑体" w:cs="黑体"/>
          <w:b w:val="0"/>
          <w:bCs w:val="0"/>
          <w:kern w:val="0"/>
          <w:sz w:val="32"/>
          <w:szCs w:val="32"/>
        </w:rPr>
        <w:t>附件1</w:t>
      </w:r>
    </w:p>
    <w:p w:rsidR="00BD299B" w:rsidRDefault="00BD299B" w:rsidP="00BD299B">
      <w:pPr>
        <w:pStyle w:val="1"/>
        <w:spacing w:before="0" w:beforeAutospacing="0" w:afterLines="50" w:afterAutospacing="0" w:line="610" w:lineRule="exact"/>
        <w:jc w:val="center"/>
        <w:rPr>
          <w:rFonts w:ascii="方正小标宋简体" w:eastAsia="方正小标宋简体" w:hAnsi="黑体"/>
          <w:sz w:val="44"/>
          <w:szCs w:val="44"/>
        </w:rPr>
      </w:pPr>
      <w:r>
        <w:rPr>
          <w:rFonts w:ascii="方正小标宋简体" w:eastAsia="方正小标宋简体" w:hAnsi="方正小标宋_GBK" w:cs="方正小标宋_GBK" w:hint="eastAsia"/>
          <w:b w:val="0"/>
          <w:bCs w:val="0"/>
          <w:sz w:val="44"/>
          <w:szCs w:val="44"/>
        </w:rPr>
        <w:t>“泰安老字号”认定评价指标</w:t>
      </w:r>
    </w:p>
    <w:tbl>
      <w:tblPr>
        <w:tblW w:w="14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29"/>
        <w:gridCol w:w="1610"/>
        <w:gridCol w:w="5135"/>
        <w:gridCol w:w="6313"/>
      </w:tblGrid>
      <w:tr w:rsidR="00BD299B" w:rsidTr="00683CF2">
        <w:trPr>
          <w:trHeight w:val="467"/>
          <w:jc w:val="center"/>
        </w:trPr>
        <w:tc>
          <w:tcPr>
            <w:tcW w:w="14587" w:type="dxa"/>
            <w:gridSpan w:val="4"/>
            <w:tcBorders>
              <w:bottom w:val="single" w:sz="4" w:space="0" w:color="auto"/>
            </w:tcBorders>
            <w:shd w:val="clear" w:color="auto" w:fill="FFFFFF"/>
            <w:vAlign w:val="center"/>
          </w:tcPr>
          <w:p w:rsidR="00BD299B" w:rsidRDefault="00BD299B" w:rsidP="00683CF2">
            <w:pPr>
              <w:spacing w:line="260" w:lineRule="exact"/>
              <w:rPr>
                <w:rFonts w:ascii="黑体" w:eastAsia="黑体" w:hAnsi="黑体"/>
                <w:szCs w:val="21"/>
              </w:rPr>
            </w:pPr>
            <w:r>
              <w:rPr>
                <w:rFonts w:ascii="黑体" w:eastAsia="黑体" w:hAnsi="黑体" w:hint="eastAsia"/>
                <w:szCs w:val="21"/>
              </w:rPr>
              <w:t>一、历史文化深厚（38分）</w:t>
            </w:r>
          </w:p>
        </w:tc>
      </w:tr>
      <w:tr w:rsidR="00BD299B" w:rsidTr="00683CF2">
        <w:trPr>
          <w:trHeight w:val="428"/>
          <w:jc w:val="center"/>
        </w:trPr>
        <w:tc>
          <w:tcPr>
            <w:tcW w:w="1529"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一级指标</w:t>
            </w: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二级指标</w:t>
            </w:r>
          </w:p>
        </w:tc>
        <w:tc>
          <w:tcPr>
            <w:tcW w:w="5135"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评分标准</w:t>
            </w:r>
          </w:p>
        </w:tc>
        <w:tc>
          <w:tcPr>
            <w:tcW w:w="6313"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评分说明</w:t>
            </w:r>
          </w:p>
        </w:tc>
      </w:tr>
      <w:tr w:rsidR="00BD299B" w:rsidTr="00683CF2">
        <w:trPr>
          <w:trHeight w:val="688"/>
          <w:jc w:val="center"/>
        </w:trPr>
        <w:tc>
          <w:tcPr>
            <w:tcW w:w="1529" w:type="dxa"/>
            <w:vMerge w:val="restart"/>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历史底蕴浓郁</w:t>
            </w:r>
          </w:p>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（11分）</w:t>
            </w: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创立时间悠久</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品牌创立时间在30年（含）以上。（3分）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品牌创立时间在3</w:t>
            </w:r>
            <w:r>
              <w:rPr>
                <w:rFonts w:ascii="宋体" w:eastAsia="宋体" w:hAnsi="宋体"/>
                <w:szCs w:val="21"/>
              </w:rPr>
              <w:t>0</w:t>
            </w:r>
            <w:r>
              <w:rPr>
                <w:rFonts w:ascii="宋体" w:eastAsia="宋体" w:hAnsi="宋体" w:hint="eastAsia"/>
                <w:szCs w:val="21"/>
              </w:rPr>
              <w:t>-4</w:t>
            </w:r>
            <w:r>
              <w:rPr>
                <w:rFonts w:ascii="宋体" w:eastAsia="宋体" w:hAnsi="宋体"/>
                <w:szCs w:val="21"/>
              </w:rPr>
              <w:t>0</w:t>
            </w:r>
            <w:r>
              <w:rPr>
                <w:rFonts w:ascii="宋体" w:eastAsia="宋体" w:hAnsi="宋体" w:hint="eastAsia"/>
                <w:szCs w:val="21"/>
              </w:rPr>
              <w:t>年（含）（1分）；品牌时间在4</w:t>
            </w:r>
            <w:r>
              <w:rPr>
                <w:rFonts w:ascii="宋体" w:eastAsia="宋体" w:hAnsi="宋体"/>
                <w:szCs w:val="21"/>
              </w:rPr>
              <w:t>0</w:t>
            </w:r>
            <w:r>
              <w:rPr>
                <w:rFonts w:ascii="宋体" w:eastAsia="宋体" w:hAnsi="宋体" w:hint="eastAsia"/>
                <w:szCs w:val="21"/>
              </w:rPr>
              <w:t>-8</w:t>
            </w:r>
            <w:r>
              <w:rPr>
                <w:rFonts w:ascii="宋体" w:eastAsia="宋体" w:hAnsi="宋体"/>
                <w:szCs w:val="21"/>
              </w:rPr>
              <w:t>0</w:t>
            </w:r>
            <w:r>
              <w:rPr>
                <w:rFonts w:ascii="宋体" w:eastAsia="宋体" w:hAnsi="宋体" w:hint="eastAsia"/>
                <w:szCs w:val="21"/>
              </w:rPr>
              <w:t>年（含）（2分）；品牌创立时间8</w:t>
            </w:r>
            <w:r>
              <w:rPr>
                <w:rFonts w:ascii="宋体" w:eastAsia="宋体" w:hAnsi="宋体"/>
                <w:szCs w:val="21"/>
              </w:rPr>
              <w:t>0</w:t>
            </w:r>
            <w:r>
              <w:rPr>
                <w:rFonts w:ascii="宋体" w:eastAsia="宋体" w:hAnsi="宋体" w:hint="eastAsia"/>
                <w:szCs w:val="21"/>
              </w:rPr>
              <w:t>年以上（3分）。不重复得分。</w:t>
            </w:r>
          </w:p>
        </w:tc>
      </w:tr>
      <w:tr w:rsidR="00BD299B" w:rsidTr="00683CF2">
        <w:trPr>
          <w:trHeight w:val="1715"/>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原址保护完整</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有塑造历史记忆、民族特色和文化传承的建筑或设施，生产经营场所被认定为文物保护单位。（5分）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生产经营场所被列为全国重点文物保护单位（5分）；生产经营场所被列为省级文物保护单位（4分）；生产经营场所被列为市级文物保护单位（3分）；生产经营场所被列为县级文物保护单位（2分）；生产经营场所被列为未核定为文物保护单位的不可移动文物或历史建筑（1分）。同时被列入以上各级的，按列入的最高层级得分，不重复得分。</w:t>
            </w:r>
          </w:p>
        </w:tc>
      </w:tr>
      <w:tr w:rsidR="00BD299B" w:rsidTr="00683CF2">
        <w:trPr>
          <w:trHeight w:val="1962"/>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历史价值突出</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具有突出的历史文化价值、较高的建筑艺术价值、体现一定的科学技术价值或其他价值特色的建筑。（3分）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与重要历史事件、历史名人相关联，在城市发展与建设史、行业发展史上具有代表性或历史文化意义（1分）；反映一定时期的建筑设计风格，建筑样式与细部等具有一定的艺术特色和价值，反映所在地域或民族的建筑艺术特点（1分）；在城市或乡村一定地域内具有标志性或象征性，具有群体心理认同感（1分）。每符合一项得1分，最多得3分。</w:t>
            </w:r>
          </w:p>
        </w:tc>
      </w:tr>
      <w:tr w:rsidR="00BD299B" w:rsidTr="00683CF2">
        <w:trPr>
          <w:trHeight w:val="1761"/>
          <w:jc w:val="center"/>
        </w:trPr>
        <w:tc>
          <w:tcPr>
            <w:tcW w:w="1529" w:type="dxa"/>
            <w:vMerge w:val="restart"/>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lastRenderedPageBreak/>
              <w:t>文化传承有力（15分）</w:t>
            </w: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技艺传承有序</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相关文化或技艺等被列入非物质文化遗产名录情况。（5分）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相关文化或技艺等被列入国家级非物质文化遗产代表性项目名录、联合国教科文组织非物质文化遗产名录（名册）（5分）；相关文化或技艺等被列入省级非物质文化遗产代表性项目名录（3分）；相关文化或技艺等被列入市县级非物质文化遗产代表性项目名录（1分）。同时被列入以上各级名录的，按列入的最高层级得分，不重复得分。</w:t>
            </w:r>
          </w:p>
        </w:tc>
      </w:tr>
      <w:tr w:rsidR="00BD299B" w:rsidTr="00683CF2">
        <w:trPr>
          <w:trHeight w:val="1198"/>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可移动文物</w:t>
            </w:r>
          </w:p>
          <w:p w:rsidR="00BD299B" w:rsidRDefault="00BD299B" w:rsidP="00683CF2">
            <w:pPr>
              <w:spacing w:line="260" w:lineRule="exact"/>
              <w:jc w:val="center"/>
              <w:rPr>
                <w:rFonts w:ascii="宋体" w:eastAsia="宋体" w:hAnsi="宋体" w:cs="黑体"/>
                <w:b/>
                <w:szCs w:val="21"/>
              </w:rPr>
            </w:pPr>
            <w:r>
              <w:rPr>
                <w:rFonts w:ascii="宋体" w:eastAsia="宋体" w:hAnsi="宋体" w:hint="eastAsia"/>
                <w:b/>
                <w:szCs w:val="21"/>
              </w:rPr>
              <w:t>保护得当</w:t>
            </w:r>
          </w:p>
        </w:tc>
        <w:tc>
          <w:tcPr>
            <w:tcW w:w="5135"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具有一定历史价值的重要实物、艺术品、文献、手稿、图书资料、代表性实物等珍贵文物或一般文物。（4分）</w:t>
            </w:r>
          </w:p>
        </w:tc>
        <w:tc>
          <w:tcPr>
            <w:tcW w:w="6313"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具有一定历史价值的重要实物、艺术品、文献、手稿、图书资料、代表性实物等珍贵文物（3分）；具有一定历史价值的重要实物、艺术品、文献、手稿、图书资料、代表性实物等一般文物（1分）。每符合一项得1分，最多得</w:t>
            </w:r>
            <w:r>
              <w:rPr>
                <w:rFonts w:ascii="宋体" w:eastAsia="宋体" w:hAnsi="宋体"/>
                <w:szCs w:val="21"/>
              </w:rPr>
              <w:t>4</w:t>
            </w:r>
            <w:r>
              <w:rPr>
                <w:rFonts w:ascii="宋体" w:eastAsia="宋体" w:hAnsi="宋体" w:hint="eastAsia"/>
                <w:szCs w:val="21"/>
              </w:rPr>
              <w:t>分。</w:t>
            </w:r>
          </w:p>
        </w:tc>
      </w:tr>
      <w:tr w:rsidR="00BD299B" w:rsidTr="00683CF2">
        <w:trPr>
          <w:trHeight w:val="1711"/>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传承载体丰富</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建有体现品牌文化价值的博物馆、文化馆等。（4分）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相关部门认定的一级博物馆或一级文化馆（4分）；相关部门认定的二、三级博物馆或二、三级文化馆（3分）；建有专门的已经文物部门备案但未评定等级的博物馆或文化馆（2分）；建有专门的但未经文物部门备案的博物馆或文化馆（1分）。同时获得不同层级部门或机构颁发的荣誉的，按所获最高层部门或机构颁发的荣誉得分，不重复得分。</w:t>
            </w:r>
          </w:p>
        </w:tc>
      </w:tr>
      <w:tr w:rsidR="00BD299B" w:rsidTr="00683CF2">
        <w:trPr>
          <w:trHeight w:val="904"/>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理念影响深远</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具有历代传承的店训、堂训、师训、店规等文化资源，并组织典礼仪式等活动。（2分）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有历代传承且在社会上有一定影响力的典礼仪式等文化活动（1分）；有历代传承的店训、堂训、师训、店规等品牌文化（1分）。每符合一项得</w:t>
            </w:r>
            <w:r>
              <w:rPr>
                <w:rFonts w:ascii="宋体" w:eastAsia="宋体" w:hAnsi="宋体"/>
                <w:szCs w:val="21"/>
              </w:rPr>
              <w:t>1</w:t>
            </w:r>
            <w:r>
              <w:rPr>
                <w:rFonts w:ascii="宋体" w:eastAsia="宋体" w:hAnsi="宋体" w:hint="eastAsia"/>
                <w:szCs w:val="21"/>
              </w:rPr>
              <w:t>分，最多得</w:t>
            </w:r>
            <w:r>
              <w:rPr>
                <w:rFonts w:ascii="宋体" w:eastAsia="宋体" w:hAnsi="宋体"/>
                <w:szCs w:val="21"/>
              </w:rPr>
              <w:t>2</w:t>
            </w:r>
            <w:r>
              <w:rPr>
                <w:rFonts w:ascii="宋体" w:eastAsia="宋体" w:hAnsi="宋体" w:hint="eastAsia"/>
                <w:szCs w:val="21"/>
              </w:rPr>
              <w:t>分。</w:t>
            </w:r>
          </w:p>
        </w:tc>
      </w:tr>
      <w:tr w:rsidR="00BD299B" w:rsidTr="00683CF2">
        <w:trPr>
          <w:trHeight w:val="1453"/>
          <w:jc w:val="center"/>
        </w:trPr>
        <w:tc>
          <w:tcPr>
            <w:tcW w:w="1529" w:type="dxa"/>
            <w:vMerge w:val="restart"/>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品牌建设规范</w:t>
            </w:r>
          </w:p>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（12分）</w:t>
            </w: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品牌权属清晰</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依法拥有与“泰安老字号”品牌相一致的企业字号或注册商标的所有权或使用权。（6分）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企业字号与品牌相一致（2分）；拥有与品牌相一致的注册商标使用权（3分）；拥有与品牌相一致的注册商标所有权（4分）；企业字号、注册商标与品牌均相一致，且拥有注册商标使用权（5分）；企业字号、注册商标与品牌均相一致，且拥有注册商标所有权（6分）。不重复得分。</w:t>
            </w:r>
          </w:p>
        </w:tc>
      </w:tr>
      <w:tr w:rsidR="00BD299B" w:rsidTr="00683CF2">
        <w:trPr>
          <w:trHeight w:val="652"/>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驰名商标保护</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与品牌一致的注册商标有驰名商标认定记录。（3分）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持有与品牌一致的商标并受驰名商标保护的（3分）；持有与品牌不一致的商标并受驰名商标保护的（2分）。不重复得分。</w:t>
            </w:r>
          </w:p>
        </w:tc>
      </w:tr>
      <w:tr w:rsidR="00BD299B" w:rsidTr="00683CF2">
        <w:trPr>
          <w:trHeight w:val="1398"/>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宣传方式多样</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运用多种方式积极宣传品牌文化和掌门人故事。（3分）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在电影、电视剧中宣传和展示品牌文化或掌门人故事（1分）；以广告、视频（微视频、纪录片）、宣传册等形式宣传和展示品牌文化或掌门人故事（1分）；在新媒体平台（微博、微信、抖音、快手等）宣传和展示品牌文化或掌门人故事（1分）。每符合一项得1分，最多得3分。</w:t>
            </w:r>
          </w:p>
        </w:tc>
      </w:tr>
      <w:tr w:rsidR="00BD299B" w:rsidTr="00683CF2">
        <w:trPr>
          <w:trHeight w:val="443"/>
          <w:jc w:val="center"/>
        </w:trPr>
        <w:tc>
          <w:tcPr>
            <w:tcW w:w="14587" w:type="dxa"/>
            <w:gridSpan w:val="4"/>
            <w:tcBorders>
              <w:bottom w:val="single" w:sz="4" w:space="0" w:color="auto"/>
            </w:tcBorders>
            <w:shd w:val="clear" w:color="auto" w:fill="FFFFFF"/>
            <w:vAlign w:val="center"/>
          </w:tcPr>
          <w:p w:rsidR="00BD299B" w:rsidRDefault="00BD299B" w:rsidP="00683CF2">
            <w:pPr>
              <w:spacing w:line="260" w:lineRule="exact"/>
              <w:rPr>
                <w:rFonts w:ascii="黑体" w:eastAsia="黑体" w:hAnsi="黑体"/>
                <w:szCs w:val="21"/>
              </w:rPr>
            </w:pPr>
            <w:r>
              <w:rPr>
                <w:rFonts w:ascii="黑体" w:eastAsia="黑体" w:hAnsi="黑体" w:hint="eastAsia"/>
                <w:szCs w:val="21"/>
              </w:rPr>
              <w:t>二、经营管理规范（22分）</w:t>
            </w:r>
          </w:p>
        </w:tc>
      </w:tr>
      <w:tr w:rsidR="00BD299B" w:rsidTr="00683CF2">
        <w:trPr>
          <w:trHeight w:val="354"/>
          <w:jc w:val="center"/>
        </w:trPr>
        <w:tc>
          <w:tcPr>
            <w:tcW w:w="1529" w:type="dxa"/>
            <w:shd w:val="clear" w:color="auto" w:fill="FFFFFF"/>
            <w:vAlign w:val="center"/>
          </w:tcPr>
          <w:p w:rsidR="00BD299B" w:rsidRDefault="00BD299B" w:rsidP="00683CF2">
            <w:pPr>
              <w:spacing w:line="260" w:lineRule="exact"/>
              <w:jc w:val="center"/>
              <w:rPr>
                <w:rFonts w:ascii="宋体" w:eastAsia="宋体" w:hAnsi="宋体"/>
                <w:szCs w:val="21"/>
              </w:rPr>
            </w:pPr>
            <w:r>
              <w:rPr>
                <w:rFonts w:ascii="宋体" w:eastAsia="宋体" w:hAnsi="宋体" w:hint="eastAsia"/>
                <w:szCs w:val="21"/>
              </w:rPr>
              <w:t>一级指标</w:t>
            </w:r>
          </w:p>
        </w:tc>
        <w:tc>
          <w:tcPr>
            <w:tcW w:w="1610" w:type="dxa"/>
            <w:shd w:val="clear" w:color="auto" w:fill="FFFFFF"/>
            <w:vAlign w:val="center"/>
          </w:tcPr>
          <w:p w:rsidR="00BD299B" w:rsidRDefault="00BD299B" w:rsidP="00683CF2">
            <w:pPr>
              <w:spacing w:line="260" w:lineRule="exact"/>
              <w:jc w:val="center"/>
              <w:rPr>
                <w:rFonts w:ascii="宋体" w:eastAsia="宋体" w:hAnsi="宋体"/>
                <w:szCs w:val="21"/>
              </w:rPr>
            </w:pPr>
            <w:r>
              <w:rPr>
                <w:rFonts w:ascii="宋体" w:eastAsia="宋体" w:hAnsi="宋体" w:hint="eastAsia"/>
                <w:szCs w:val="21"/>
              </w:rPr>
              <w:t>二级指标</w:t>
            </w:r>
          </w:p>
        </w:tc>
        <w:tc>
          <w:tcPr>
            <w:tcW w:w="5135" w:type="dxa"/>
            <w:shd w:val="clear" w:color="auto" w:fill="FFFFFF"/>
            <w:vAlign w:val="center"/>
          </w:tcPr>
          <w:p w:rsidR="00BD299B" w:rsidRDefault="00BD299B" w:rsidP="00683CF2">
            <w:pPr>
              <w:spacing w:line="260" w:lineRule="exact"/>
              <w:jc w:val="center"/>
              <w:rPr>
                <w:rFonts w:ascii="宋体" w:eastAsia="宋体" w:hAnsi="宋体"/>
                <w:szCs w:val="21"/>
              </w:rPr>
            </w:pPr>
            <w:r>
              <w:rPr>
                <w:rFonts w:ascii="宋体" w:eastAsia="宋体" w:hAnsi="宋体" w:hint="eastAsia"/>
                <w:szCs w:val="21"/>
              </w:rPr>
              <w:t>评分标准</w:t>
            </w:r>
          </w:p>
        </w:tc>
        <w:tc>
          <w:tcPr>
            <w:tcW w:w="6313" w:type="dxa"/>
            <w:shd w:val="clear" w:color="auto" w:fill="FFFFFF"/>
            <w:vAlign w:val="center"/>
          </w:tcPr>
          <w:p w:rsidR="00BD299B" w:rsidRDefault="00BD299B" w:rsidP="00683CF2">
            <w:pPr>
              <w:spacing w:line="260" w:lineRule="exact"/>
              <w:jc w:val="center"/>
              <w:rPr>
                <w:rFonts w:ascii="宋体" w:eastAsia="宋体" w:hAnsi="宋体"/>
                <w:szCs w:val="21"/>
              </w:rPr>
            </w:pPr>
            <w:r>
              <w:rPr>
                <w:rFonts w:ascii="宋体" w:eastAsia="宋体" w:hAnsi="宋体" w:hint="eastAsia"/>
                <w:szCs w:val="21"/>
              </w:rPr>
              <w:t>评分说明</w:t>
            </w:r>
          </w:p>
        </w:tc>
      </w:tr>
      <w:tr w:rsidR="00BD299B" w:rsidTr="00683CF2">
        <w:trPr>
          <w:trHeight w:val="829"/>
          <w:jc w:val="center"/>
        </w:trPr>
        <w:tc>
          <w:tcPr>
            <w:tcW w:w="1529" w:type="dxa"/>
            <w:vMerge w:val="restart"/>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经济效益良好</w:t>
            </w:r>
          </w:p>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（12分）</w:t>
            </w: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主营业务连续</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主营业务连续经营20年（含）以上。（3分）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主营业务连续经营时间为2</w:t>
            </w:r>
            <w:r>
              <w:rPr>
                <w:rFonts w:ascii="宋体" w:eastAsia="宋体" w:hAnsi="宋体"/>
                <w:szCs w:val="21"/>
              </w:rPr>
              <w:t>0</w:t>
            </w:r>
            <w:r>
              <w:rPr>
                <w:rFonts w:ascii="宋体" w:eastAsia="宋体" w:hAnsi="宋体" w:hint="eastAsia"/>
                <w:szCs w:val="21"/>
              </w:rPr>
              <w:t>-3</w:t>
            </w:r>
            <w:r>
              <w:rPr>
                <w:rFonts w:ascii="宋体" w:eastAsia="宋体" w:hAnsi="宋体"/>
                <w:szCs w:val="21"/>
              </w:rPr>
              <w:t>0</w:t>
            </w:r>
            <w:r>
              <w:rPr>
                <w:rFonts w:ascii="宋体" w:eastAsia="宋体" w:hAnsi="宋体" w:hint="eastAsia"/>
                <w:szCs w:val="21"/>
              </w:rPr>
              <w:t>年（含）（1分）；主营业务连续经营时间为3</w:t>
            </w:r>
            <w:r>
              <w:rPr>
                <w:rFonts w:ascii="宋体" w:eastAsia="宋体" w:hAnsi="宋体"/>
                <w:szCs w:val="21"/>
              </w:rPr>
              <w:t>0</w:t>
            </w:r>
            <w:r>
              <w:rPr>
                <w:rFonts w:ascii="宋体" w:eastAsia="宋体" w:hAnsi="宋体" w:hint="eastAsia"/>
                <w:szCs w:val="21"/>
              </w:rPr>
              <w:t>-4</w:t>
            </w:r>
            <w:r>
              <w:rPr>
                <w:rFonts w:ascii="宋体" w:eastAsia="宋体" w:hAnsi="宋体"/>
                <w:szCs w:val="21"/>
              </w:rPr>
              <w:t>0</w:t>
            </w:r>
            <w:r>
              <w:rPr>
                <w:rFonts w:ascii="宋体" w:eastAsia="宋体" w:hAnsi="宋体" w:hint="eastAsia"/>
                <w:szCs w:val="21"/>
              </w:rPr>
              <w:t>年（含）（2分）；主营业务连续经营时间为40年以上（3分）。不重复得分。</w:t>
            </w:r>
          </w:p>
        </w:tc>
      </w:tr>
      <w:tr w:rsidR="00BD299B" w:rsidTr="00683CF2">
        <w:trPr>
          <w:trHeight w:val="658"/>
          <w:jc w:val="center"/>
        </w:trPr>
        <w:tc>
          <w:tcPr>
            <w:tcW w:w="1529" w:type="dxa"/>
            <w:vMerge/>
            <w:shd w:val="clear" w:color="auto" w:fill="FFFFFF"/>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盈利能力良好</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经营状况良好，可持续发展能力强。（3分）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企业处于盈利状态（1分）；持续盈利2年（含）以上（2分）；持续盈利3年（含）以上（3分）。不重复得分。</w:t>
            </w:r>
          </w:p>
        </w:tc>
      </w:tr>
      <w:tr w:rsidR="00BD299B" w:rsidTr="00683CF2">
        <w:trPr>
          <w:trHeight w:val="821"/>
          <w:jc w:val="center"/>
        </w:trPr>
        <w:tc>
          <w:tcPr>
            <w:tcW w:w="1529" w:type="dxa"/>
            <w:vMerge/>
            <w:shd w:val="clear" w:color="auto" w:fill="FFFFFF"/>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cs="黑体"/>
                <w:b/>
                <w:szCs w:val="21"/>
              </w:rPr>
            </w:pPr>
            <w:r>
              <w:rPr>
                <w:rFonts w:ascii="宋体" w:eastAsia="宋体" w:hAnsi="宋体" w:hint="eastAsia"/>
                <w:b/>
                <w:szCs w:val="21"/>
              </w:rPr>
              <w:t>市场覆盖广泛</w:t>
            </w:r>
          </w:p>
        </w:tc>
        <w:tc>
          <w:tcPr>
            <w:tcW w:w="5135"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国际化、跨区域、数字化、连锁化经营情况。（4分）</w:t>
            </w:r>
          </w:p>
        </w:tc>
        <w:tc>
          <w:tcPr>
            <w:tcW w:w="6313"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cs="黑体" w:hint="eastAsia"/>
                <w:szCs w:val="21"/>
              </w:rPr>
              <w:t>商品或服务进入国际市场（1分）；商品或服务进入省外市场（1分）；运用电子商务方式拓展销售渠道（1分）；拥有2家以上的直营店或加盟店（1分）。</w:t>
            </w:r>
            <w:r>
              <w:rPr>
                <w:rFonts w:ascii="宋体" w:eastAsia="宋体" w:hAnsi="宋体" w:hint="eastAsia"/>
                <w:szCs w:val="21"/>
              </w:rPr>
              <w:t>每符合一项得1分，最多得</w:t>
            </w:r>
            <w:r>
              <w:rPr>
                <w:rFonts w:ascii="宋体" w:eastAsia="宋体" w:hAnsi="宋体"/>
                <w:szCs w:val="21"/>
              </w:rPr>
              <w:t>4</w:t>
            </w:r>
            <w:r>
              <w:rPr>
                <w:rFonts w:ascii="宋体" w:eastAsia="宋体" w:hAnsi="宋体" w:hint="eastAsia"/>
                <w:szCs w:val="21"/>
              </w:rPr>
              <w:t>分。</w:t>
            </w:r>
          </w:p>
        </w:tc>
      </w:tr>
      <w:tr w:rsidR="00BD299B" w:rsidTr="00683CF2">
        <w:trPr>
          <w:trHeight w:val="740"/>
          <w:jc w:val="center"/>
        </w:trPr>
        <w:tc>
          <w:tcPr>
            <w:tcW w:w="1529" w:type="dxa"/>
            <w:vMerge/>
            <w:shd w:val="clear" w:color="auto" w:fill="FFFFFF"/>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cs="黑体"/>
                <w:b/>
                <w:szCs w:val="21"/>
              </w:rPr>
            </w:pPr>
            <w:r>
              <w:rPr>
                <w:rFonts w:ascii="宋体" w:eastAsia="宋体" w:hAnsi="宋体" w:hint="eastAsia"/>
                <w:b/>
                <w:szCs w:val="21"/>
              </w:rPr>
              <w:t>企业上市发展</w:t>
            </w:r>
          </w:p>
        </w:tc>
        <w:tc>
          <w:tcPr>
            <w:tcW w:w="5135"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企业是否上市。（2分）</w:t>
            </w:r>
          </w:p>
        </w:tc>
        <w:tc>
          <w:tcPr>
            <w:tcW w:w="6313"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在境内外股票市场公开发行股票（2分）。</w:t>
            </w:r>
          </w:p>
        </w:tc>
      </w:tr>
      <w:tr w:rsidR="00BD299B" w:rsidTr="00BD299B">
        <w:trPr>
          <w:trHeight w:val="1269"/>
          <w:jc w:val="center"/>
        </w:trPr>
        <w:tc>
          <w:tcPr>
            <w:tcW w:w="1529" w:type="dxa"/>
            <w:vMerge w:val="restart"/>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制度建设完善</w:t>
            </w:r>
          </w:p>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（10分）</w:t>
            </w: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管理制度健全</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有完善的管理制度，包括突发事件应急处置机制及食品安全、环境卫生、知识产权、消费者权益、市场公平竞争、人才培训等。（5分）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有完善的管理制度，包括突发事件应急处置机制、食品安全、环境卫生、知识产权、消费者权益、其他制度。每拥有一种管理制度得1分，最多得5分。</w:t>
            </w:r>
          </w:p>
        </w:tc>
      </w:tr>
      <w:tr w:rsidR="00BD299B" w:rsidTr="00683CF2">
        <w:trPr>
          <w:trHeight w:val="1402"/>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体制改革完善</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从人事、用工、分配制度着手深化企业改革，明晰产权，开展兼并重组，推进混合所有制改革，构建现代企业治理体系，拓展延长产业链，集团化、产业化发展。（5分）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采取人事制度、用工制度、分配制度改革措施（1分）；明晰产权，开展兼并重组，推进混合所有制改革（1分）；构建现代企业治理体系（1分）；拓展延长产业链，集团化、产业化发展（2分）。每符合一项得1分，最多得</w:t>
            </w:r>
            <w:r>
              <w:rPr>
                <w:rFonts w:ascii="宋体" w:eastAsia="宋体" w:hAnsi="宋体"/>
                <w:szCs w:val="21"/>
              </w:rPr>
              <w:t>5</w:t>
            </w:r>
            <w:r>
              <w:rPr>
                <w:rFonts w:ascii="宋体" w:eastAsia="宋体" w:hAnsi="宋体" w:hint="eastAsia"/>
                <w:szCs w:val="21"/>
              </w:rPr>
              <w:t>分。</w:t>
            </w:r>
          </w:p>
        </w:tc>
      </w:tr>
      <w:tr w:rsidR="00BD299B" w:rsidTr="00683CF2">
        <w:trPr>
          <w:trHeight w:val="505"/>
          <w:jc w:val="center"/>
        </w:trPr>
        <w:tc>
          <w:tcPr>
            <w:tcW w:w="14587" w:type="dxa"/>
            <w:gridSpan w:val="4"/>
            <w:tcBorders>
              <w:bottom w:val="single" w:sz="4" w:space="0" w:color="auto"/>
            </w:tcBorders>
            <w:shd w:val="clear" w:color="auto" w:fill="FFFFFF"/>
            <w:vAlign w:val="center"/>
          </w:tcPr>
          <w:p w:rsidR="00BD299B" w:rsidRDefault="00BD299B" w:rsidP="00683CF2">
            <w:pPr>
              <w:spacing w:line="260" w:lineRule="exact"/>
              <w:rPr>
                <w:rFonts w:ascii="黑体" w:eastAsia="黑体" w:hAnsi="黑体"/>
                <w:szCs w:val="21"/>
              </w:rPr>
            </w:pPr>
            <w:r>
              <w:rPr>
                <w:rFonts w:ascii="黑体" w:eastAsia="黑体" w:hAnsi="黑体" w:hint="eastAsia"/>
                <w:szCs w:val="21"/>
              </w:rPr>
              <w:t>三、创新发展能力突出（40分）</w:t>
            </w:r>
          </w:p>
        </w:tc>
      </w:tr>
      <w:tr w:rsidR="00BD299B" w:rsidTr="00683CF2">
        <w:trPr>
          <w:trHeight w:val="484"/>
          <w:jc w:val="center"/>
        </w:trPr>
        <w:tc>
          <w:tcPr>
            <w:tcW w:w="1529" w:type="dxa"/>
            <w:shd w:val="clear" w:color="auto" w:fill="FFFFFF"/>
            <w:vAlign w:val="center"/>
          </w:tcPr>
          <w:p w:rsidR="00BD299B" w:rsidRDefault="00BD299B" w:rsidP="00683CF2">
            <w:pPr>
              <w:spacing w:line="260" w:lineRule="exact"/>
              <w:jc w:val="center"/>
              <w:rPr>
                <w:rFonts w:ascii="宋体" w:eastAsia="宋体" w:hAnsi="宋体"/>
                <w:szCs w:val="21"/>
              </w:rPr>
            </w:pPr>
            <w:r>
              <w:rPr>
                <w:rFonts w:ascii="宋体" w:eastAsia="宋体" w:hAnsi="宋体" w:hint="eastAsia"/>
                <w:szCs w:val="21"/>
              </w:rPr>
              <w:t>一级指标</w:t>
            </w:r>
          </w:p>
        </w:tc>
        <w:tc>
          <w:tcPr>
            <w:tcW w:w="1610" w:type="dxa"/>
            <w:shd w:val="clear" w:color="auto" w:fill="FFFFFF"/>
            <w:vAlign w:val="center"/>
          </w:tcPr>
          <w:p w:rsidR="00BD299B" w:rsidRDefault="00BD299B" w:rsidP="00683CF2">
            <w:pPr>
              <w:spacing w:line="260" w:lineRule="exact"/>
              <w:jc w:val="center"/>
              <w:rPr>
                <w:rFonts w:ascii="宋体" w:eastAsia="宋体" w:hAnsi="宋体"/>
                <w:szCs w:val="21"/>
              </w:rPr>
            </w:pPr>
            <w:r>
              <w:rPr>
                <w:rFonts w:ascii="宋体" w:eastAsia="宋体" w:hAnsi="宋体" w:hint="eastAsia"/>
                <w:szCs w:val="21"/>
              </w:rPr>
              <w:t>二级指标</w:t>
            </w:r>
          </w:p>
        </w:tc>
        <w:tc>
          <w:tcPr>
            <w:tcW w:w="5135" w:type="dxa"/>
            <w:shd w:val="clear" w:color="auto" w:fill="FFFFFF"/>
            <w:vAlign w:val="center"/>
          </w:tcPr>
          <w:p w:rsidR="00BD299B" w:rsidRDefault="00BD299B" w:rsidP="00683CF2">
            <w:pPr>
              <w:spacing w:line="260" w:lineRule="exact"/>
              <w:jc w:val="center"/>
              <w:rPr>
                <w:rFonts w:ascii="宋体" w:eastAsia="宋体" w:hAnsi="宋体"/>
                <w:szCs w:val="21"/>
              </w:rPr>
            </w:pPr>
            <w:r>
              <w:rPr>
                <w:rFonts w:ascii="宋体" w:eastAsia="宋体" w:hAnsi="宋体" w:hint="eastAsia"/>
                <w:szCs w:val="21"/>
              </w:rPr>
              <w:t>评分标准</w:t>
            </w:r>
          </w:p>
        </w:tc>
        <w:tc>
          <w:tcPr>
            <w:tcW w:w="6313" w:type="dxa"/>
            <w:shd w:val="clear" w:color="auto" w:fill="FFFFFF"/>
            <w:vAlign w:val="center"/>
          </w:tcPr>
          <w:p w:rsidR="00BD299B" w:rsidRDefault="00BD299B" w:rsidP="00683CF2">
            <w:pPr>
              <w:spacing w:line="260" w:lineRule="exact"/>
              <w:jc w:val="center"/>
              <w:rPr>
                <w:rFonts w:ascii="宋体" w:eastAsia="宋体" w:hAnsi="宋体"/>
                <w:szCs w:val="21"/>
              </w:rPr>
            </w:pPr>
            <w:r>
              <w:rPr>
                <w:rFonts w:ascii="宋体" w:eastAsia="宋体" w:hAnsi="宋体" w:hint="eastAsia"/>
                <w:szCs w:val="21"/>
              </w:rPr>
              <w:t>评分说明</w:t>
            </w:r>
          </w:p>
        </w:tc>
      </w:tr>
      <w:tr w:rsidR="00BD299B" w:rsidTr="00683CF2">
        <w:trPr>
          <w:trHeight w:val="842"/>
          <w:jc w:val="center"/>
        </w:trPr>
        <w:tc>
          <w:tcPr>
            <w:tcW w:w="1529" w:type="dxa"/>
            <w:vMerge w:val="restart"/>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产品服务优质</w:t>
            </w:r>
          </w:p>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（10分）</w:t>
            </w: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服务品质良好</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坚守工匠精神，提升服务质量和服务水平，永葆品质魅力。（5分）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拥有国家级或省级非物质文化遗产代表性传承人、工艺美术大师等技艺传承人，面向居民生活提供经济价值、文化价值较高的产品、技艺或服务，最多得5分。</w:t>
            </w:r>
          </w:p>
        </w:tc>
      </w:tr>
      <w:tr w:rsidR="00BD299B" w:rsidTr="00683CF2">
        <w:trPr>
          <w:trHeight w:val="636"/>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产品品类丰富</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根据消费需求创新开发产品，提升产品创新力，丰富产品品类。（5分）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在坚持产品品质前提下，根据广大消费者需求变化创新开发产品，丰富产品品类，最多得5分。</w:t>
            </w:r>
          </w:p>
        </w:tc>
      </w:tr>
      <w:tr w:rsidR="00BD299B" w:rsidTr="00683CF2">
        <w:trPr>
          <w:trHeight w:val="1038"/>
          <w:jc w:val="center"/>
        </w:trPr>
        <w:tc>
          <w:tcPr>
            <w:tcW w:w="1529" w:type="dxa"/>
            <w:vMerge w:val="restart"/>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研发能力突出</w:t>
            </w:r>
          </w:p>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（10分）</w:t>
            </w: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生产技艺革新</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运用先进技术和设备，全面掌握并运用传统工艺核心技艺和关键技术，与时俱进改进技艺，创新生产方式，降低生产成本，提高生产效率，形成了与品牌传统工艺技术相匹配的新技艺，且成效明显。（4分）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运用先进技术和设备，全面掌握并运用传统工艺核心技艺和关键技术，与时俱进改进技艺，创新生产方式，降低生产成本，提高生产效率，形成了与品牌传统工艺技术相匹配的新技艺，且成效明显，最多得4分。</w:t>
            </w:r>
          </w:p>
        </w:tc>
      </w:tr>
      <w:tr w:rsidR="00BD299B" w:rsidTr="00683CF2">
        <w:trPr>
          <w:trHeight w:val="789"/>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科技研发创新</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建立技术中心或科研机构，对传统技艺进行研究、保护、传承和创新。（3分）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建立国家级技术中心或同级别科研机构（3分）；建立省级技术中心或同级别科研机构（2分）；建立市级技术中心或同级别科研机构（1分）。不重复得分。</w:t>
            </w:r>
          </w:p>
        </w:tc>
      </w:tr>
      <w:tr w:rsidR="00BD299B" w:rsidTr="00683CF2">
        <w:trPr>
          <w:trHeight w:val="764"/>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人才培养有力</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有完善的人才培养和管理制度，注重专业人才队伍建设。（3分）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有完善的人才培养和管理制度，定期组织员工培训，积极吸收高等教育毕业生就业，吸纳非物质文化遗产代表性传承人参与生产或培训等。每采取一项措施得1分，最多得3分。</w:t>
            </w:r>
          </w:p>
        </w:tc>
      </w:tr>
      <w:tr w:rsidR="00BD299B" w:rsidTr="00683CF2">
        <w:trPr>
          <w:trHeight w:val="940"/>
          <w:jc w:val="center"/>
        </w:trPr>
        <w:tc>
          <w:tcPr>
            <w:tcW w:w="1529" w:type="dxa"/>
            <w:vMerge w:val="restart"/>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lastRenderedPageBreak/>
              <w:t>消费场景丰富</w:t>
            </w:r>
          </w:p>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（12分）</w:t>
            </w: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传播活动多样</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举办形式多样的购物消费活动、文化内涵丰富的文化活动，以及突出商旅文融合发展的互动活动。（3分）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经常性举办具有影响力的大型购物消费类活动、文化内涵丰富的文化活动，以及突出商旅文融合发展的互动活动，每举办一次上述活动得0.5分，最多得3分。</w:t>
            </w:r>
          </w:p>
        </w:tc>
      </w:tr>
      <w:tr w:rsidR="00BD299B" w:rsidTr="00683CF2">
        <w:trPr>
          <w:trHeight w:val="952"/>
          <w:jc w:val="center"/>
        </w:trPr>
        <w:tc>
          <w:tcPr>
            <w:tcW w:w="1529" w:type="dxa"/>
            <w:vMerge/>
            <w:shd w:val="clear" w:color="auto" w:fill="FFFFFF"/>
          </w:tcPr>
          <w:p w:rsidR="00BD299B" w:rsidRDefault="00BD299B" w:rsidP="00683CF2">
            <w:pPr>
              <w:spacing w:line="260" w:lineRule="exact"/>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跨界融合精准</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与匹配度高的国货品牌、影视或动漫作品、文创产品等跨界互动，联合打造I</w:t>
            </w:r>
            <w:r>
              <w:rPr>
                <w:rFonts w:ascii="宋体" w:eastAsia="宋体" w:hAnsi="宋体"/>
                <w:szCs w:val="21"/>
              </w:rPr>
              <w:t>P</w:t>
            </w:r>
            <w:r>
              <w:rPr>
                <w:rFonts w:ascii="宋体" w:eastAsia="宋体" w:hAnsi="宋体" w:hint="eastAsia"/>
                <w:szCs w:val="21"/>
              </w:rPr>
              <w:t>，共同开展营销，吸引年轻消费群体，推动流量转化，引领国潮热点。（3分）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与匹配度高的国货品牌、影视或动漫作品、文创产品等跨界互动，联合打造I</w:t>
            </w:r>
            <w:r>
              <w:rPr>
                <w:rFonts w:ascii="宋体" w:eastAsia="宋体" w:hAnsi="宋体"/>
                <w:szCs w:val="21"/>
              </w:rPr>
              <w:t>P</w:t>
            </w:r>
            <w:r>
              <w:rPr>
                <w:rFonts w:ascii="宋体" w:eastAsia="宋体" w:hAnsi="宋体" w:hint="eastAsia"/>
                <w:szCs w:val="21"/>
              </w:rPr>
              <w:t>，共同开展营销。每采取一项措施得0.5分，最多得3分。</w:t>
            </w:r>
          </w:p>
        </w:tc>
      </w:tr>
      <w:tr w:rsidR="00BD299B" w:rsidTr="00683CF2">
        <w:trPr>
          <w:trHeight w:val="935"/>
          <w:jc w:val="center"/>
        </w:trPr>
        <w:tc>
          <w:tcPr>
            <w:tcW w:w="1529" w:type="dxa"/>
            <w:vMerge/>
            <w:shd w:val="clear" w:color="auto" w:fill="FFFFFF"/>
          </w:tcPr>
          <w:p w:rsidR="00BD299B" w:rsidRDefault="00BD299B" w:rsidP="00683CF2">
            <w:pPr>
              <w:spacing w:line="260" w:lineRule="exact"/>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营销渠道多元</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运用互联网技术，利用第三方平台、公众号、直播带货、快闪店等方式，全方位推动线上线下营销渠道融合。（3分）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运用互联网技术，利用第三方平台、公众号、直播、快闪店等方式，全方位推动线上线下营销渠道融合，每采取一种线上营销方式可得0.5分，最多得3分。</w:t>
            </w:r>
          </w:p>
        </w:tc>
      </w:tr>
      <w:tr w:rsidR="00BD299B" w:rsidTr="00683CF2">
        <w:trPr>
          <w:trHeight w:val="832"/>
          <w:jc w:val="center"/>
        </w:trPr>
        <w:tc>
          <w:tcPr>
            <w:tcW w:w="1529" w:type="dxa"/>
            <w:vMerge/>
            <w:shd w:val="clear" w:color="auto" w:fill="FFFFFF"/>
          </w:tcPr>
          <w:p w:rsidR="00BD299B" w:rsidRDefault="00BD299B" w:rsidP="00683CF2">
            <w:pPr>
              <w:spacing w:line="260" w:lineRule="exact"/>
              <w:rPr>
                <w:rFonts w:ascii="宋体" w:eastAsia="宋体" w:hAnsi="宋体"/>
                <w:b/>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消费体验提升</w:t>
            </w:r>
          </w:p>
        </w:tc>
        <w:tc>
          <w:tcPr>
            <w:tcW w:w="5135"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注重设计标识、改进包装、升级店面、提供增值服务等，提升产品消费体验。（3分）</w:t>
            </w:r>
          </w:p>
        </w:tc>
        <w:tc>
          <w:tcPr>
            <w:tcW w:w="6313" w:type="dxa"/>
            <w:shd w:val="clear" w:color="auto" w:fill="FFFFFF"/>
            <w:vAlign w:val="center"/>
          </w:tcPr>
          <w:p w:rsidR="00BD299B" w:rsidRDefault="00BD299B" w:rsidP="00683CF2">
            <w:pPr>
              <w:spacing w:line="260" w:lineRule="exact"/>
              <w:rPr>
                <w:rFonts w:ascii="宋体" w:eastAsia="宋体" w:hAnsi="宋体"/>
                <w:szCs w:val="21"/>
              </w:rPr>
            </w:pPr>
            <w:r>
              <w:rPr>
                <w:rFonts w:ascii="宋体" w:eastAsia="宋体" w:hAnsi="宋体" w:hint="eastAsia"/>
                <w:szCs w:val="21"/>
              </w:rPr>
              <w:t>通过注重设计标识、改进包装，升级店面、提供增值服务等措施，提升产品消费体验，吸引更多消费群体，每采用一种措施得0.5分，最多得3分。</w:t>
            </w:r>
          </w:p>
        </w:tc>
      </w:tr>
      <w:tr w:rsidR="00BD299B" w:rsidTr="00683CF2">
        <w:trPr>
          <w:trHeight w:val="597"/>
          <w:jc w:val="center"/>
        </w:trPr>
        <w:tc>
          <w:tcPr>
            <w:tcW w:w="1529" w:type="dxa"/>
            <w:vMerge w:val="restart"/>
            <w:shd w:val="clear" w:color="auto" w:fill="FFFFFF"/>
            <w:vAlign w:val="center"/>
          </w:tcPr>
          <w:p w:rsidR="00BD299B" w:rsidRDefault="00BD299B" w:rsidP="00683CF2">
            <w:pPr>
              <w:spacing w:line="260" w:lineRule="exact"/>
              <w:jc w:val="center"/>
              <w:rPr>
                <w:rFonts w:ascii="宋体" w:eastAsia="宋体" w:hAnsi="宋体"/>
                <w:b/>
                <w:szCs w:val="21"/>
              </w:rPr>
            </w:pPr>
            <w:r>
              <w:rPr>
                <w:rFonts w:ascii="宋体" w:eastAsia="宋体" w:hAnsi="宋体" w:hint="eastAsia"/>
                <w:b/>
                <w:szCs w:val="21"/>
              </w:rPr>
              <w:t>社会贡献杰出</w:t>
            </w:r>
          </w:p>
          <w:p w:rsidR="00BD299B" w:rsidRDefault="00BD299B" w:rsidP="00683CF2">
            <w:pPr>
              <w:spacing w:line="260" w:lineRule="exact"/>
              <w:jc w:val="center"/>
              <w:rPr>
                <w:rFonts w:ascii="宋体" w:eastAsia="宋体" w:hAnsi="宋体"/>
                <w:szCs w:val="21"/>
              </w:rPr>
            </w:pPr>
            <w:r>
              <w:rPr>
                <w:rFonts w:ascii="宋体" w:eastAsia="宋体" w:hAnsi="宋体" w:hint="eastAsia"/>
                <w:b/>
                <w:szCs w:val="21"/>
              </w:rPr>
              <w:t>（8分）</w:t>
            </w:r>
          </w:p>
        </w:tc>
        <w:tc>
          <w:tcPr>
            <w:tcW w:w="1610" w:type="dxa"/>
            <w:shd w:val="clear" w:color="auto" w:fill="FFFFFF"/>
            <w:vAlign w:val="center"/>
          </w:tcPr>
          <w:p w:rsidR="00BD299B" w:rsidRDefault="00BD299B" w:rsidP="00683CF2">
            <w:pPr>
              <w:spacing w:line="260" w:lineRule="exact"/>
              <w:jc w:val="center"/>
              <w:rPr>
                <w:rFonts w:ascii="宋体" w:eastAsia="宋体" w:hAnsi="宋体" w:cs="黑体"/>
                <w:b/>
                <w:szCs w:val="21"/>
              </w:rPr>
            </w:pPr>
            <w:r>
              <w:rPr>
                <w:rFonts w:ascii="宋体" w:eastAsia="宋体" w:hAnsi="宋体" w:hint="eastAsia"/>
                <w:b/>
                <w:szCs w:val="21"/>
              </w:rPr>
              <w:t>履行社会责任</w:t>
            </w:r>
          </w:p>
        </w:tc>
        <w:tc>
          <w:tcPr>
            <w:tcW w:w="5135"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参与疫情防控、抢险救灾、应急保供等重大任务。（3分）</w:t>
            </w:r>
          </w:p>
        </w:tc>
        <w:tc>
          <w:tcPr>
            <w:tcW w:w="6313"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每参与一次任务得0.5分，最多得3分。</w:t>
            </w:r>
          </w:p>
        </w:tc>
      </w:tr>
      <w:tr w:rsidR="00BD299B" w:rsidTr="00683CF2">
        <w:trPr>
          <w:trHeight w:val="654"/>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cs="黑体"/>
                <w:b/>
                <w:szCs w:val="21"/>
              </w:rPr>
            </w:pPr>
            <w:r>
              <w:rPr>
                <w:rFonts w:ascii="宋体" w:eastAsia="宋体" w:hAnsi="宋体" w:hint="eastAsia"/>
                <w:b/>
                <w:szCs w:val="21"/>
              </w:rPr>
              <w:t>参与公益活动</w:t>
            </w:r>
          </w:p>
        </w:tc>
        <w:tc>
          <w:tcPr>
            <w:tcW w:w="5135"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积极参与政府部门、行业协会组织的老字号活动，组织促进行业发展的公益性活动。（3分）</w:t>
            </w:r>
          </w:p>
        </w:tc>
        <w:tc>
          <w:tcPr>
            <w:tcW w:w="6313"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每参与1项政府部门、行业协会组织的老字号活动得0.5分；每组织一次促进行业发展的公益性活动得0.5分。最多得3分。</w:t>
            </w:r>
          </w:p>
        </w:tc>
      </w:tr>
      <w:tr w:rsidR="00BD299B" w:rsidTr="00683CF2">
        <w:trPr>
          <w:trHeight w:val="1416"/>
          <w:jc w:val="center"/>
        </w:trPr>
        <w:tc>
          <w:tcPr>
            <w:tcW w:w="1529" w:type="dxa"/>
            <w:vMerge/>
            <w:shd w:val="clear" w:color="auto" w:fill="FFFFFF"/>
            <w:vAlign w:val="center"/>
          </w:tcPr>
          <w:p w:rsidR="00BD299B" w:rsidRDefault="00BD299B" w:rsidP="00683CF2">
            <w:pPr>
              <w:spacing w:line="260" w:lineRule="exact"/>
              <w:jc w:val="center"/>
              <w:rPr>
                <w:rFonts w:ascii="宋体" w:eastAsia="宋体" w:hAnsi="宋体"/>
                <w:szCs w:val="21"/>
              </w:rPr>
            </w:pPr>
          </w:p>
        </w:tc>
        <w:tc>
          <w:tcPr>
            <w:tcW w:w="1610" w:type="dxa"/>
            <w:shd w:val="clear" w:color="auto" w:fill="FFFFFF"/>
            <w:vAlign w:val="center"/>
          </w:tcPr>
          <w:p w:rsidR="00BD299B" w:rsidRDefault="00BD299B" w:rsidP="00683CF2">
            <w:pPr>
              <w:spacing w:line="260" w:lineRule="exact"/>
              <w:jc w:val="center"/>
              <w:rPr>
                <w:rFonts w:ascii="宋体" w:eastAsia="宋体" w:hAnsi="宋体" w:cs="黑体"/>
                <w:b/>
                <w:szCs w:val="21"/>
              </w:rPr>
            </w:pPr>
            <w:r>
              <w:rPr>
                <w:rFonts w:ascii="宋体" w:eastAsia="宋体" w:hAnsi="宋体" w:hint="eastAsia"/>
                <w:b/>
                <w:szCs w:val="21"/>
              </w:rPr>
              <w:t>获得荣誉奖励</w:t>
            </w:r>
          </w:p>
        </w:tc>
        <w:tc>
          <w:tcPr>
            <w:tcW w:w="5135"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相关商标、产品或企业获得荣誉情况。（2分）</w:t>
            </w:r>
          </w:p>
        </w:tc>
        <w:tc>
          <w:tcPr>
            <w:tcW w:w="6313" w:type="dxa"/>
            <w:shd w:val="clear" w:color="auto" w:fill="FFFFFF"/>
            <w:vAlign w:val="center"/>
          </w:tcPr>
          <w:p w:rsidR="00BD299B" w:rsidRDefault="00BD299B" w:rsidP="00683CF2">
            <w:pPr>
              <w:spacing w:line="260" w:lineRule="exact"/>
              <w:rPr>
                <w:rFonts w:ascii="宋体" w:eastAsia="宋体" w:hAnsi="宋体" w:cs="黑体"/>
                <w:szCs w:val="21"/>
              </w:rPr>
            </w:pPr>
            <w:r>
              <w:rPr>
                <w:rFonts w:ascii="宋体" w:eastAsia="宋体" w:hAnsi="宋体" w:hint="eastAsia"/>
                <w:szCs w:val="21"/>
              </w:rPr>
              <w:t>相关商标、产品或企业获得国家级荣誉称号（2分）；相关商标、产品或企业获得省级荣誉称号（1.5分）；相关商标、产品或企业获得市级、县级等荣誉称号（1分）；相关商标、产品或企业获得其他荣誉称号（0.5分）。同时获得国家级、省级、市县级荣誉称号的，按所获的最高层级荣誉称号得分，不重复得分。</w:t>
            </w:r>
          </w:p>
        </w:tc>
      </w:tr>
    </w:tbl>
    <w:p w:rsidR="00BD299B" w:rsidRDefault="00BD299B" w:rsidP="00BD299B">
      <w:pPr>
        <w:pStyle w:val="10"/>
        <w:spacing w:line="360" w:lineRule="exact"/>
        <w:ind w:firstLineChars="200" w:firstLine="422"/>
        <w:rPr>
          <w:rFonts w:ascii="宋体" w:hAnsi="宋体" w:cs="宋体" w:hint="eastAsia"/>
          <w:b/>
          <w:szCs w:val="21"/>
        </w:rPr>
      </w:pPr>
    </w:p>
    <w:p w:rsidR="00BD299B" w:rsidRDefault="00BD299B" w:rsidP="00BD299B">
      <w:pPr>
        <w:pStyle w:val="10"/>
        <w:spacing w:line="360" w:lineRule="exact"/>
        <w:ind w:firstLineChars="200" w:firstLine="422"/>
        <w:rPr>
          <w:rFonts w:ascii="宋体" w:hAnsi="宋体" w:cs="宋体"/>
          <w:b/>
          <w:szCs w:val="21"/>
        </w:rPr>
      </w:pPr>
      <w:r>
        <w:rPr>
          <w:rFonts w:ascii="宋体" w:hAnsi="宋体" w:cs="宋体" w:hint="eastAsia"/>
          <w:b/>
          <w:szCs w:val="21"/>
        </w:rPr>
        <w:lastRenderedPageBreak/>
        <w:t>编制说明：</w:t>
      </w:r>
    </w:p>
    <w:p w:rsidR="00BD299B" w:rsidRDefault="00BD299B" w:rsidP="00BD299B">
      <w:pPr>
        <w:pStyle w:val="10"/>
        <w:spacing w:line="360" w:lineRule="exact"/>
        <w:ind w:firstLineChars="200" w:firstLine="422"/>
        <w:rPr>
          <w:rFonts w:ascii="宋体" w:hAnsi="宋体" w:cs="宋体"/>
          <w:b/>
          <w:szCs w:val="21"/>
        </w:rPr>
      </w:pPr>
      <w:r>
        <w:rPr>
          <w:rFonts w:ascii="宋体" w:hAnsi="宋体" w:cs="宋体" w:hint="eastAsia"/>
          <w:b/>
          <w:szCs w:val="21"/>
        </w:rPr>
        <w:t>1.编制背景</w:t>
      </w:r>
    </w:p>
    <w:p w:rsidR="00BD299B" w:rsidRDefault="00BD299B" w:rsidP="00BD299B">
      <w:pPr>
        <w:pStyle w:val="10"/>
        <w:spacing w:line="360" w:lineRule="exact"/>
        <w:ind w:firstLineChars="200" w:firstLine="420"/>
        <w:rPr>
          <w:rFonts w:ascii="宋体" w:hAnsi="宋体" w:cs="宋体"/>
          <w:szCs w:val="21"/>
        </w:rPr>
      </w:pPr>
      <w:r>
        <w:rPr>
          <w:rFonts w:ascii="宋体" w:hAnsi="宋体" w:cs="宋体" w:hint="eastAsia"/>
          <w:szCs w:val="21"/>
        </w:rPr>
        <w:t>1.1本评价指标是对《“泰安老字号”认定及保护促进办法》相关内容的补充。</w:t>
      </w:r>
    </w:p>
    <w:p w:rsidR="00BD299B" w:rsidRDefault="00BD299B" w:rsidP="00BD299B">
      <w:pPr>
        <w:pStyle w:val="10"/>
        <w:spacing w:line="360" w:lineRule="exact"/>
        <w:ind w:firstLineChars="200" w:firstLine="420"/>
        <w:rPr>
          <w:rFonts w:ascii="宋体" w:hAnsi="宋体" w:cs="宋体"/>
          <w:szCs w:val="21"/>
        </w:rPr>
      </w:pPr>
      <w:r>
        <w:rPr>
          <w:rFonts w:ascii="宋体" w:hAnsi="宋体" w:cs="宋体" w:hint="eastAsia"/>
          <w:szCs w:val="21"/>
        </w:rPr>
        <w:t>1.2本评价指标用于“泰安老字号”认定评价工作。</w:t>
      </w:r>
    </w:p>
    <w:p w:rsidR="00BD299B" w:rsidRDefault="00BD299B" w:rsidP="00BD299B">
      <w:pPr>
        <w:pStyle w:val="10"/>
        <w:spacing w:line="360" w:lineRule="exact"/>
        <w:ind w:firstLineChars="200" w:firstLine="422"/>
        <w:rPr>
          <w:rFonts w:ascii="宋体" w:hAnsi="宋体" w:cs="宋体"/>
          <w:b/>
          <w:szCs w:val="21"/>
        </w:rPr>
      </w:pPr>
      <w:r>
        <w:rPr>
          <w:rFonts w:ascii="宋体" w:hAnsi="宋体" w:cs="宋体" w:hint="eastAsia"/>
          <w:b/>
          <w:szCs w:val="21"/>
        </w:rPr>
        <w:t>2.适用范围</w:t>
      </w:r>
    </w:p>
    <w:p w:rsidR="00BD299B" w:rsidRDefault="00BD299B" w:rsidP="00BD299B">
      <w:pPr>
        <w:pStyle w:val="10"/>
        <w:spacing w:line="360" w:lineRule="exact"/>
        <w:ind w:firstLineChars="200" w:firstLine="420"/>
        <w:rPr>
          <w:rFonts w:ascii="宋体" w:hAnsi="宋体" w:cs="宋体"/>
          <w:szCs w:val="21"/>
        </w:rPr>
      </w:pPr>
      <w:r>
        <w:rPr>
          <w:rFonts w:ascii="宋体" w:hAnsi="宋体" w:cs="宋体" w:hint="eastAsia"/>
          <w:szCs w:val="21"/>
        </w:rPr>
        <w:t>2.1本评价指标适用于申报“泰安老字号”认定的企业。</w:t>
      </w:r>
    </w:p>
    <w:p w:rsidR="00BD299B" w:rsidRDefault="00BD299B" w:rsidP="00BD299B">
      <w:pPr>
        <w:pStyle w:val="10"/>
        <w:spacing w:line="360" w:lineRule="exact"/>
        <w:ind w:firstLineChars="200" w:firstLine="420"/>
        <w:rPr>
          <w:rFonts w:ascii="宋体" w:hAnsi="宋体" w:cs="宋体"/>
          <w:szCs w:val="21"/>
        </w:rPr>
      </w:pPr>
      <w:r>
        <w:rPr>
          <w:rFonts w:ascii="宋体" w:hAnsi="宋体" w:cs="宋体" w:hint="eastAsia"/>
          <w:szCs w:val="21"/>
        </w:rPr>
        <w:t>2.2本评价指标从历史文化深厚、经营管理规范、创新发展能力突出三个方面开展评价，总分100分。</w:t>
      </w:r>
    </w:p>
    <w:p w:rsidR="00BD299B" w:rsidRDefault="00BD299B" w:rsidP="00BD299B">
      <w:pPr>
        <w:pStyle w:val="10"/>
        <w:spacing w:line="360" w:lineRule="exact"/>
        <w:ind w:firstLineChars="200" w:firstLine="420"/>
        <w:rPr>
          <w:rFonts w:ascii="宋体" w:hAnsi="宋体" w:cs="宋体"/>
          <w:szCs w:val="21"/>
        </w:rPr>
      </w:pPr>
      <w:r>
        <w:rPr>
          <w:rFonts w:ascii="宋体" w:hAnsi="宋体" w:cs="宋体" w:hint="eastAsia"/>
          <w:szCs w:val="21"/>
        </w:rPr>
        <w:t>2.3对于近3年发生过重大安全责任事故、重大侵犯知识产权或消费者权益事件，或被相关部门列入严重违法失信名单的不予赋分。</w:t>
      </w:r>
    </w:p>
    <w:p w:rsidR="004358AB" w:rsidRPr="00BD299B" w:rsidRDefault="00BD299B" w:rsidP="00BD299B">
      <w:pPr>
        <w:spacing w:line="220" w:lineRule="atLeast"/>
        <w:ind w:firstLineChars="200" w:firstLine="420"/>
        <w:rPr>
          <w:rFonts w:ascii="宋体" w:eastAsia="宋体" w:hAnsi="宋体" w:cs="宋体"/>
          <w:kern w:val="2"/>
          <w:sz w:val="21"/>
          <w:szCs w:val="21"/>
        </w:rPr>
      </w:pPr>
      <w:r w:rsidRPr="00BD299B">
        <w:rPr>
          <w:rFonts w:ascii="宋体" w:eastAsia="宋体" w:hAnsi="宋体" w:cs="宋体" w:hint="eastAsia"/>
          <w:kern w:val="2"/>
          <w:sz w:val="21"/>
          <w:szCs w:val="21"/>
        </w:rPr>
        <w:t>2.4本评价指标根据发展需要适时修订。</w:t>
      </w:r>
    </w:p>
    <w:sectPr w:rsidR="004358AB" w:rsidRPr="00BD299B" w:rsidSect="00BD299B">
      <w:foot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41A" w:rsidRDefault="0079341A" w:rsidP="00BD299B">
      <w:pPr>
        <w:spacing w:after="0"/>
      </w:pPr>
      <w:r>
        <w:separator/>
      </w:r>
    </w:p>
  </w:endnote>
  <w:endnote w:type="continuationSeparator" w:id="0">
    <w:p w:rsidR="0079341A" w:rsidRDefault="0079341A" w:rsidP="00BD29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00537"/>
      <w:docPartObj>
        <w:docPartGallery w:val="Page Numbers (Bottom of Page)"/>
        <w:docPartUnique/>
      </w:docPartObj>
    </w:sdtPr>
    <w:sdtContent>
      <w:p w:rsidR="00BD299B" w:rsidRDefault="00BD299B">
        <w:pPr>
          <w:pStyle w:val="a4"/>
          <w:jc w:val="center"/>
        </w:pPr>
        <w:fldSimple w:instr=" PAGE   \* MERGEFORMAT ">
          <w:r w:rsidRPr="00BD299B">
            <w:rPr>
              <w:noProof/>
              <w:lang w:val="zh-CN"/>
            </w:rPr>
            <w:t>6</w:t>
          </w:r>
        </w:fldSimple>
      </w:p>
    </w:sdtContent>
  </w:sdt>
  <w:p w:rsidR="00BD299B" w:rsidRDefault="00BD29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41A" w:rsidRDefault="0079341A" w:rsidP="00BD299B">
      <w:pPr>
        <w:spacing w:after="0"/>
      </w:pPr>
      <w:r>
        <w:separator/>
      </w:r>
    </w:p>
  </w:footnote>
  <w:footnote w:type="continuationSeparator" w:id="0">
    <w:p w:rsidR="0079341A" w:rsidRDefault="0079341A" w:rsidP="00BD299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9341A"/>
    <w:rsid w:val="008B7726"/>
    <w:rsid w:val="00B37465"/>
    <w:rsid w:val="00BD299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BD299B"/>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299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D299B"/>
    <w:rPr>
      <w:rFonts w:ascii="Tahoma" w:hAnsi="Tahoma"/>
      <w:sz w:val="18"/>
      <w:szCs w:val="18"/>
    </w:rPr>
  </w:style>
  <w:style w:type="paragraph" w:styleId="a4">
    <w:name w:val="footer"/>
    <w:basedOn w:val="a"/>
    <w:link w:val="Char0"/>
    <w:uiPriority w:val="99"/>
    <w:unhideWhenUsed/>
    <w:rsid w:val="00BD299B"/>
    <w:pPr>
      <w:tabs>
        <w:tab w:val="center" w:pos="4153"/>
        <w:tab w:val="right" w:pos="8306"/>
      </w:tabs>
    </w:pPr>
    <w:rPr>
      <w:sz w:val="18"/>
      <w:szCs w:val="18"/>
    </w:rPr>
  </w:style>
  <w:style w:type="character" w:customStyle="1" w:styleId="Char0">
    <w:name w:val="页脚 Char"/>
    <w:basedOn w:val="a0"/>
    <w:link w:val="a4"/>
    <w:uiPriority w:val="99"/>
    <w:rsid w:val="00BD299B"/>
    <w:rPr>
      <w:rFonts w:ascii="Tahoma" w:hAnsi="Tahoma"/>
      <w:sz w:val="18"/>
      <w:szCs w:val="18"/>
    </w:rPr>
  </w:style>
  <w:style w:type="character" w:customStyle="1" w:styleId="1Char">
    <w:name w:val="标题 1 Char"/>
    <w:basedOn w:val="a0"/>
    <w:link w:val="1"/>
    <w:rsid w:val="00BD299B"/>
    <w:rPr>
      <w:rFonts w:ascii="宋体" w:eastAsia="宋体" w:hAnsi="宋体" w:cs="宋体"/>
      <w:b/>
      <w:bCs/>
      <w:kern w:val="36"/>
      <w:sz w:val="48"/>
      <w:szCs w:val="48"/>
    </w:rPr>
  </w:style>
  <w:style w:type="paragraph" w:customStyle="1" w:styleId="10">
    <w:name w:val="无间隔1"/>
    <w:qFormat/>
    <w:rsid w:val="00BD299B"/>
    <w:pPr>
      <w:widowControl w:val="0"/>
      <w:spacing w:after="0" w:line="240" w:lineRule="auto"/>
      <w:jc w:val="both"/>
    </w:pPr>
    <w:rPr>
      <w:rFonts w:ascii="Calibri" w:eastAsia="宋体" w:hAnsi="Calibri" w:cs="黑体"/>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2023-08-28T01:13:00Z</dcterms:modified>
</cp:coreProperties>
</file>